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spacing w:lineRule="auto" w:line="276"/>
        <w:ind w:left="0" w:right="0" w:hanging="0"/>
        <w:jc w:val="center"/>
        <w:rPr/>
      </w:pPr>
      <w:r>
        <w:rPr>
          <w:rFonts w:ascii="Arial" w:hAnsi="Arial"/>
          <w:color w:val="auto"/>
          <w:sz w:val="24"/>
          <w:szCs w:val="24"/>
        </w:rPr>
        <w:t>ESTUDO TÉCNICO PRELIMINAR</w:t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b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</w:r>
    </w:p>
    <w:p>
      <w:pPr>
        <w:pStyle w:val="ListParagraph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b/>
          <w:bCs/>
          <w:color w:val="auto"/>
          <w:sz w:val="24"/>
          <w:szCs w:val="24"/>
        </w:rPr>
        <w:t>DESCRIÇÃO DA NECESSIDADE</w:t>
      </w:r>
    </w:p>
    <w:p>
      <w:pPr>
        <w:pStyle w:val="ListParagraph"/>
        <w:numPr>
          <w:ilvl w:val="0"/>
          <w:numId w:val="0"/>
        </w:numPr>
        <w:spacing w:lineRule="auto" w:line="276"/>
        <w:ind w:left="3926" w:right="0" w:hanging="0"/>
        <w:jc w:val="both"/>
        <w:rPr>
          <w:rFonts w:ascii="Arial" w:hAnsi="Arial"/>
          <w:b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bookmarkStart w:id="0" w:name="__DdeLink__1281_3118931877"/>
      <w:r>
        <w:rPr>
          <w:rFonts w:ascii="Arial" w:hAnsi="Arial"/>
          <w:color w:val="auto"/>
          <w:sz w:val="24"/>
          <w:szCs w:val="24"/>
        </w:rPr>
        <w:t>O objeto da presente licitação é a contratação de empresa especializada para execução de obra de construção de Campo de grama sintética na Praça Joaquim Monteiro Filho , conforme condições estabelecidas, visto que atualmente a localidade não possui nenhum ponto de atividades esportivas para atender a comunidade e promover atividades dos moradores da região.</w:t>
      </w:r>
      <w:bookmarkEnd w:id="0"/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O projeto básico foi elaborado pela arquiteta da Prefeitura de Paranaguá, a servidora Geisamaria Ferreira de Freitas da Sivla – CAU/PR A54.511-2, estimando a construção da Quadra em terreno localizado na Rua Júlio Groth esquina com Rua Regina de Felix Lima e Travessa José Antônio Mendes.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ALINHAMENTO ENTRE A CONTRATAÇÃO E O PLANEJAMENTO</w:t>
      </w:r>
    </w:p>
    <w:p>
      <w:pPr>
        <w:pStyle w:val="Ttulo1"/>
        <w:numPr>
          <w:ilvl w:val="0"/>
          <w:numId w:val="0"/>
        </w:numPr>
        <w:spacing w:lineRule="auto" w:line="276"/>
        <w:ind w:left="3926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contratação pretendida está prevista na Lei de Diretrizes Orçamentárias Lei Orçamentária Anual e Plano Plurianual Quadriênio 2026-2029 do Município de Paranaguá, estando assim alinhada com o planejamento desta Administração.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DESCRIÇÃO DOS REQUISITOS DA CONTRATAÇÃO</w:t>
      </w:r>
    </w:p>
    <w:p>
      <w:pPr>
        <w:pStyle w:val="Ttulo1"/>
        <w:numPr>
          <w:ilvl w:val="0"/>
          <w:numId w:val="0"/>
        </w:numPr>
        <w:spacing w:lineRule="auto" w:line="276"/>
        <w:ind w:left="3926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Os serviços de Construção do Campo de Grama sintética têm natureza de serviços comuns de engenharia, tendo em vista que seus padrões de desempenho e qualidade podem ser objetivamente definidos pelo edital, por meio de especificações usuais de mercado, nos termos do art. 6º, inciso XIII, da Lei Federal nº 14.133/2021.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contratação será realizada por meio de licitação, na modalidade Concorrência, na sua forma eletrônica, com critério de julgamento por menor preço, nos termos dos artigos 6º, inciso XXXVIII, a), 17, § 2º, e 34, todos da Lei Federal nº 14.133/2021.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Para prestação dos serviços pretendidos os eventuais interessados deverão comprovar que atuam em ramo de atividade compatível com o objeto da licitação, bem como apresentar os seguintes documentos a título habilitação, nos termos do art. 62, da Lei nº 14.133/2021:</w:t>
      </w:r>
    </w:p>
    <w:p>
      <w:pPr>
        <w:pStyle w:val="Ttulo2"/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Qualificação técnico-operacional:</w:t>
      </w:r>
    </w:p>
    <w:p>
      <w:pPr>
        <w:pStyle w:val="ListParagraph"/>
        <w:numPr>
          <w:ilvl w:val="0"/>
          <w:numId w:val="6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Registro/Certidão de inscrição da empresa no Conselho Regional de Engenharia e Agronomia - CREA ou no Conselho de Arquitetura e Urbanismo – CAU da região da sede da empresa, em plena validade.</w:t>
      </w:r>
    </w:p>
    <w:p>
      <w:pPr>
        <w:pStyle w:val="ListParagraph"/>
        <w:numPr>
          <w:ilvl w:val="0"/>
          <w:numId w:val="6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Apresentação de atestado de capacidade técnica, fornecido por pessoa jurídica de direito público ou privado devidamente identificada, em nome do licitante, que demonstre a execução de atividade similar ao objeto do presente e comprovando:</w:t>
      </w:r>
    </w:p>
    <w:p>
      <w:pPr>
        <w:pStyle w:val="Corpodotexto"/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I. Execução de reforma, construção ou ampliação de campo/quadra de grama sintética com no mínimo 544m² (em único atestado).</w:t>
      </w:r>
    </w:p>
    <w:p>
      <w:pPr>
        <w:pStyle w:val="Ttulo2"/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Quanto à capacitação técnico-profissional:</w:t>
      </w:r>
    </w:p>
    <w:p>
      <w:pPr>
        <w:pStyle w:val="ListParagraph"/>
        <w:numPr>
          <w:ilvl w:val="0"/>
          <w:numId w:val="5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apresentação de Certidão de Acervo Técnico – CAT, expedida pelo CREA ou CAU, nos termos da legislação aplicável, em nome do(s) responsável(is) técnico(s) e/ou membros da equipe técnica que prestará os serviços técnicos, que demonstre a Anotação de Responsabilidade Técnica - ART ou o Registro de Responsabilidade Técnica - RRT, relativo à:</w:t>
      </w:r>
    </w:p>
    <w:p>
      <w:pPr>
        <w:pStyle w:val="ListParagraph"/>
        <w:numPr>
          <w:ilvl w:val="1"/>
          <w:numId w:val="5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Execução de reforma, construção ou ampliação de quadra poliesportiva de grama sintética com execução de rede elétrica com no mínimo 544m² (em único atestado).</w:t>
      </w:r>
    </w:p>
    <w:p>
      <w:pPr>
        <w:pStyle w:val="ListParagraph"/>
        <w:numPr>
          <w:ilvl w:val="0"/>
          <w:numId w:val="5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O(s) atestado(s) só será(ão) aceito(s) se o profissional relacionado possuir vínculo com o licitante na data da licitação. Os documentos necessários para a comprovação de que o profissional técnico está vinculado com o licitante são:</w:t>
      </w:r>
    </w:p>
    <w:p>
      <w:pPr>
        <w:pStyle w:val="ListParagraph"/>
        <w:numPr>
          <w:ilvl w:val="1"/>
          <w:numId w:val="4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No caso de dirigentes de empresa, tal comprovação poderá ser feita através da cópia da ata de assembleia de sua investidura no cargo ou do contrato social;</w:t>
      </w:r>
    </w:p>
    <w:p>
      <w:pPr>
        <w:pStyle w:val="ListParagraph"/>
        <w:numPr>
          <w:ilvl w:val="1"/>
          <w:numId w:val="4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No caso de empregado com vínculo empregatício, o respectivo registro na Carteira de Trabalho e Previdência Social;</w:t>
      </w:r>
    </w:p>
    <w:p>
      <w:pPr>
        <w:pStyle w:val="ListParagraph"/>
        <w:numPr>
          <w:ilvl w:val="1"/>
          <w:numId w:val="4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No caso de contrato de prestação de serviços técnicos, o contrato devidamente firmado entre as partes;</w:t>
      </w:r>
    </w:p>
    <w:p>
      <w:pPr>
        <w:pStyle w:val="Corpodotexto"/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c.4.) Deverão constar, preferencialmente, do(s) atestado(s) de capacidade técnica, ou da(s) certidão(ões) expedida(s) pelo Conselho Regional de Engenharia e Agronomia – CREA ou pelo Conselho de Arquitetura e Urbanismo - CAU, da região da sede da empresa, evidenciando: data de início e término dos serviços; local de execução; nome do contratante e da pessoa jurídica contratada; nome(s) do(s) responsável(is) técnico(s), seu(s) títulos profissional(is) e número(s) de registro no Conselho Regional de Engenharia e Agronomia – CREA ou no Conselho de Arquitetura e Urbanismo – CAU; especificação e demais dados técnicos com informações sobre os quantitativos executados.</w:t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ESTIMATIVA DAS QUANTIDADES</w:t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As quantidades e os seus respectivos valores unitários, acrescido do BDI, estão descritos na planilha orçamentária que é parte integrante do presente (Anexo I) e será do futuro edital.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ALTERNATIVAS DISPONÍVEIS NO MERCADO</w:t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Conforme pesquisa de mercado realizada, para solução da necessidade administrativa, objeto do presente Estudo Técnico Preliminar, vislumbra-se possível, sob o aspecto técnico e econômico, a contratação de empresas especializadas do ramo de engenharia, arquitetura e/ou construção civil para execução de obras.</w:t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Ademais, tendo em vista a natureza do objeto, há no mercado Nacional diversas empresas de engenharia para realização de Obras e Serviços, o que possibilita ampla concorrência e vantagens a Administração Pública, propiciando transparência e legalidade para requerida contratação.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/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ANÁLISE COMPARATIVA E JUSTIFICATIVA DA SOLUÇÃO ESCOLHIDA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br/>
      </w:r>
      <w:r>
        <w:rPr>
          <w:rFonts w:ascii="Arial" w:hAnsi="Arial"/>
          <w:color w:val="auto"/>
          <w:sz w:val="24"/>
          <w:szCs w:val="24"/>
        </w:rPr>
        <w:t xml:space="preserve">5.3. </w:t>
      </w:r>
      <w:r>
        <w:rPr>
          <w:rFonts w:ascii="Arial" w:hAnsi="Arial"/>
          <w:color w:val="auto"/>
          <w:sz w:val="24"/>
          <w:szCs w:val="24"/>
        </w:rPr>
        <w:t>Para a definição da solução técnica mais adequada à Praça Joaquim Monteiro Filho, foram avaliadas as principais alternativas de pavimentação esportiva disponíveis no mercado nacional. A escolha pela grama sintética fundamenta-se nos seguintes critérios de eficiência administrativa e técnica: </w:t>
      </w:r>
    </w:p>
    <w:p>
      <w:pPr>
        <w:pStyle w:val="ListParagraph"/>
        <w:numPr>
          <w:ilvl w:val="0"/>
          <w:numId w:val="0"/>
        </w:numPr>
        <w:spacing w:lineRule="auto" w:line="276"/>
        <w:ind w:left="142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br/>
      </w:r>
      <w:r>
        <w:rPr>
          <w:rFonts w:ascii="Arial" w:hAnsi="Arial"/>
          <w:color w:val="auto"/>
          <w:sz w:val="24"/>
          <w:szCs w:val="24"/>
        </w:rPr>
        <w:t xml:space="preserve">5.3.1 </w:t>
      </w:r>
      <w:r>
        <w:rPr>
          <w:rFonts w:ascii="Arial" w:hAnsi="Arial"/>
          <w:color w:val="auto"/>
          <w:sz w:val="24"/>
          <w:szCs w:val="24"/>
        </w:rPr>
        <w:t>Comparativo entre Tipos de Piso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/>
      </w:r>
    </w:p>
    <w:tbl>
      <w:tblPr>
        <w:tblW w:w="9750" w:type="dxa"/>
        <w:jc w:val="left"/>
        <w:tblInd w:w="0" w:type="dxa"/>
        <w:tblCellMar>
          <w:top w:w="240" w:type="dxa"/>
          <w:left w:w="28" w:type="dxa"/>
          <w:bottom w:w="240" w:type="dxa"/>
          <w:right w:w="180" w:type="dxa"/>
        </w:tblCellMar>
      </w:tblPr>
      <w:tblGrid>
        <w:gridCol w:w="2028"/>
        <w:gridCol w:w="2386"/>
        <w:gridCol w:w="2391"/>
        <w:gridCol w:w="2945"/>
      </w:tblGrid>
      <w:tr>
        <w:trPr>
          <w:tblHeader w:val="true"/>
        </w:trPr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Style w:val="Nfaseforte"/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Critério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Style w:val="Nfaseforte"/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Grama Natural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Style w:val="Nfaseforte"/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Piso Modular (Polipropileno)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tcMar>
              <w:right w:w="28" w:type="dxa"/>
            </w:tcMar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Style w:val="Nfaseforte"/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Grama Sintética (Escolha)</w:t>
            </w:r>
          </w:p>
        </w:tc>
      </w:tr>
      <w:tr>
        <w:trPr/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Disponibilidade de Uso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Limitada (necessita de "descanso" para recuperação do gramado).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Alta, mas sensível a intempéries extremas em áreas abertas.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tcMar>
              <w:right w:w="28" w:type="dxa"/>
            </w:tcMar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Máxima (24h/dia), independente de condições climáticas.</w:t>
            </w:r>
          </w:p>
        </w:tc>
      </w:tr>
      <w:tr>
        <w:trPr/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Manutenção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Complexa: exige irrigação constante, podas, adubação e controle de pragas.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Média: limpeza e substituição de módulos quebrados.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tcMar>
              <w:right w:w="28" w:type="dxa"/>
            </w:tcMar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Baixa: requer apenas escovação periódica e reposição de enchimento.</w:t>
            </w:r>
          </w:p>
        </w:tc>
      </w:tr>
      <w:tr>
        <w:trPr/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Durabilidade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Baixa em locais de uso intenso (pisoteio degrada o solo).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Alta, porém com menor amortecimento de impacto.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tcMar>
              <w:right w:w="28" w:type="dxa"/>
            </w:tcMar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Alta (média de 5 a 8 anos), mantendo o padrão estético e funcional.</w:t>
            </w:r>
          </w:p>
        </w:tc>
      </w:tr>
      <w:tr>
        <w:trPr/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Custo de Operação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Elevado (mão de obra constante e insumos hídricos).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Baixo, mas com alto custo de aquisição inicial.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tcMar>
              <w:right w:w="28" w:type="dxa"/>
            </w:tcMar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Otimizado: maior investimento inicial compensado pelo baixo custo de manutenção.</w:t>
            </w:r>
          </w:p>
        </w:tc>
      </w:tr>
      <w:tr>
        <w:trPr/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Impacto Ambiental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Exige grande consumo de água e uso de fertilizantes químicos.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 w:val="false"/>
                <w:i w:val="false"/>
                <w:caps w:val="false"/>
                <w:smallCaps w:val="false"/>
                <w:color w:val="1F1F1F"/>
                <w:sz w:val="24"/>
              </w:rPr>
              <w:t>Material reciclável, porém gera maior reflexo de calor.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tcMar>
              <w:right w:w="28" w:type="dxa"/>
            </w:tcMar>
            <w:vAlign w:val="center"/>
          </w:tcPr>
          <w:p>
            <w:pPr>
              <w:pStyle w:val="Contedodatabela"/>
              <w:keepNext w:val="false"/>
              <w:widowControl/>
              <w:spacing w:lineRule="auto" w:line="276" w:before="0" w:after="0"/>
              <w:ind w:left="0" w:right="0" w:hanging="0"/>
              <w:jc w:val="center"/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</w:pPr>
            <w:r>
              <w:rPr>
                <w:rFonts w:ascii="Google Sans Text;sans-serif" w:hAnsi="Google Sans Text;sans-serif"/>
                <w:b/>
                <w:i w:val="false"/>
                <w:caps w:val="false"/>
                <w:smallCaps w:val="false"/>
                <w:color w:val="1F1F1F"/>
                <w:sz w:val="24"/>
              </w:rPr>
              <w:t>Reduz o consumo de água e dispensa defensivos agrícolas.</w:t>
            </w:r>
          </w:p>
        </w:tc>
      </w:tr>
    </w:tbl>
    <w:p>
      <w:pPr>
        <w:pStyle w:val="Corpodotexto"/>
        <w:spacing w:lineRule="auto" w:line="276"/>
        <w:ind w:left="0" w:right="0" w:hanging="0"/>
        <w:jc w:val="both"/>
        <w:rPr>
          <w:rFonts w:ascii="Arial" w:hAnsi="Arial" w:eastAsia="Times New Roman" w:cs="Times New Roman"/>
          <w:color w:val="auto"/>
          <w:kern w:val="0"/>
          <w:sz w:val="24"/>
          <w:szCs w:val="24"/>
          <w:lang w:val="pt-PT" w:eastAsia="en-US" w:bidi="ar-SA"/>
        </w:rPr>
      </w:pPr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 xml:space="preserve">5.3.2 </w:t>
      </w:r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>A opção pela grama sintética, em detrimento às demais opções, justifica-se pelos seguintes pontos:</w:t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 w:eastAsia="Times New Roman" w:cs="Times New Roman"/>
          <w:color w:val="auto"/>
          <w:kern w:val="0"/>
          <w:sz w:val="24"/>
          <w:szCs w:val="24"/>
          <w:lang w:val="pt-PT" w:eastAsia="en-US" w:bidi="ar-SA"/>
        </w:rPr>
      </w:pPr>
      <w:bookmarkStart w:id="1" w:name="p-rc_3736e357c020389a-17"/>
      <w:bookmarkEnd w:id="1"/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PT" w:eastAsia="en-US" w:bidi="ar-SA"/>
        </w:rPr>
        <w:t xml:space="preserve">5.3.2.1 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PT" w:eastAsia="en-US" w:bidi="ar-SA"/>
        </w:rPr>
        <w:t>Intensidade de Uso Comunitário:</w:t>
      </w:r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 xml:space="preserve"> Considerando que o objetivo é atender a comunidade local e promover atividades esportivas constantes, a grama natural seria inviável, pois o uso diário intenso resultaria na rápida degradação do campo, gerando buracos e lama.</w:t>
      </w:r>
    </w:p>
    <w:p>
      <w:pPr>
        <w:pStyle w:val="Corpodotexto"/>
        <w:spacing w:lineRule="auto" w:line="276"/>
        <w:ind w:left="0" w:right="0" w:hanging="0"/>
        <w:jc w:val="both"/>
        <w:rPr/>
      </w:pPr>
      <w:bookmarkStart w:id="2" w:name="p-rc_3736e357c020389a-18"/>
      <w:bookmarkEnd w:id="2"/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 xml:space="preserve">5.3.2.2 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PT" w:eastAsia="en-US" w:bidi="ar-SA"/>
        </w:rPr>
        <w:t>Resiliência Climática:</w:t>
      </w:r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 xml:space="preserve"> Paranaguá apresenta altos índices pluviométricos. A grama sintética, combinada com o sistema de drenagem previsto no Projeto Básico, garante a utilização do campo logo após as chuvas, sem os riscos de alagamento ou interdição comuns em gramados naturais.</w:t>
      </w:r>
    </w:p>
    <w:p>
      <w:pPr>
        <w:pStyle w:val="Corpodotexto"/>
        <w:spacing w:lineRule="auto" w:line="276"/>
        <w:ind w:left="0" w:right="0" w:hanging="0"/>
        <w:jc w:val="both"/>
        <w:rPr/>
      </w:pPr>
      <w:bookmarkStart w:id="3" w:name="p-rc_3736e357c020389a-19"/>
      <w:bookmarkEnd w:id="3"/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>5.3.2.3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PT" w:eastAsia="en-US" w:bidi="ar-SA"/>
        </w:rPr>
        <w:t xml:space="preserve"> 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PT" w:eastAsia="en-US" w:bidi="ar-SA"/>
        </w:rPr>
        <w:t>Segurança Esportiva:</w:t>
      </w:r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 xml:space="preserve"> O sistema de grama sintética oferece um amortecimento de impacto superior ao piso modular ou concreto, reduzindo o risco de lesões articulares para os usuários de diferentes faixas etárias da comunidade.</w:t>
      </w:r>
    </w:p>
    <w:p>
      <w:pPr>
        <w:pStyle w:val="Corpodotexto"/>
        <w:spacing w:lineRule="auto" w:line="276"/>
        <w:ind w:left="0" w:right="0" w:hanging="0"/>
        <w:jc w:val="both"/>
        <w:rPr/>
      </w:pPr>
      <w:bookmarkStart w:id="4" w:name="p-rc_3736e357c020389a-20"/>
      <w:bookmarkEnd w:id="4"/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 xml:space="preserve">5.3.2.4 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PT" w:eastAsia="en-US" w:bidi="ar-SA"/>
        </w:rPr>
        <w:t xml:space="preserve">Economia de Longo Prazo: </w:t>
      </w:r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 xml:space="preserve">Embora o valor total estimado seja </w:t>
      </w:r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>o apresentado no termo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PT" w:eastAsia="en-US" w:bidi="ar-SA"/>
        </w:rPr>
        <w:t>,</w:t>
      </w:r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 xml:space="preserve"> a solução é financeiramente mais vantajosa para a Administração Pública, pois elimina os gastos mensais recorrentes com caminhões-pipa, jardineiros e insumos biológicos necessários para a manutenção da grama natural.</w:t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 w:eastAsia="Times New Roman" w:cs="Times New Roman"/>
          <w:color w:val="auto"/>
          <w:kern w:val="0"/>
          <w:sz w:val="24"/>
          <w:szCs w:val="24"/>
          <w:lang w:val="pt-PT" w:eastAsia="en-US" w:bidi="ar-SA"/>
        </w:rPr>
      </w:pPr>
      <w:r>
        <w:rPr/>
      </w:r>
    </w:p>
    <w:p>
      <w:pPr>
        <w:pStyle w:val="Corpodotexto"/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ESTIMATIVA DO VALOR DA CONTRATAÇÃO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 xml:space="preserve">5.4 </w:t>
      </w:r>
      <w:r>
        <w:rPr>
          <w:rFonts w:ascii="Arial" w:hAnsi="Arial"/>
          <w:color w:val="auto"/>
          <w:sz w:val="24"/>
          <w:szCs w:val="24"/>
        </w:rPr>
        <w:t xml:space="preserve">Estima-se para a contratação almejada o valor total de </w:t>
      </w:r>
      <w:r>
        <w:rPr>
          <w:rFonts w:ascii="Arial" w:hAnsi="Arial"/>
          <w:color w:val="auto"/>
          <w:sz w:val="24"/>
          <w:szCs w:val="24"/>
          <w:lang w:val="pt-BR" w:eastAsia="pt-BR"/>
        </w:rPr>
        <w:t xml:space="preserve">R$1.062.076,73 </w:t>
      </w:r>
      <w:r>
        <w:rPr>
          <w:rFonts w:ascii="Arial" w:hAnsi="Arial"/>
          <w:color w:val="auto"/>
          <w:sz w:val="24"/>
          <w:szCs w:val="24"/>
        </w:rPr>
        <w:t xml:space="preserve">(hum milhão, sessenta e dois mil, setenta e sete reais e setenta e três centavos),. A planilha orçamentária com o demonstrativo dos valores que é parte integrante do presente estudo e será do futuro edital se encontra no </w:t>
      </w:r>
      <w:r>
        <w:rPr>
          <w:rFonts w:eastAsia="Times New Roman" w:cs="Times New Roman" w:ascii="Arial" w:hAnsi="Arial"/>
          <w:color w:val="auto"/>
          <w:kern w:val="0"/>
          <w:sz w:val="24"/>
          <w:szCs w:val="24"/>
          <w:lang w:val="pt-PT" w:eastAsia="en-US" w:bidi="ar-SA"/>
        </w:rPr>
        <w:t>termo de referência</w:t>
      </w:r>
      <w:r>
        <w:rPr>
          <w:rFonts w:ascii="Arial" w:hAnsi="Arial"/>
          <w:color w:val="auto"/>
          <w:sz w:val="24"/>
          <w:szCs w:val="24"/>
        </w:rPr>
        <w:t>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DESCRIÇÃO DA SOLUÇÃO COMO UM TODO</w:t>
      </w:r>
    </w:p>
    <w:p>
      <w:pPr>
        <w:pStyle w:val="Ttulo1"/>
        <w:numPr>
          <w:ilvl w:val="0"/>
          <w:numId w:val="0"/>
        </w:numPr>
        <w:spacing w:lineRule="auto" w:line="276"/>
        <w:ind w:left="3926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Corpodotexto"/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solução proposta é a contratação de empresa especializada do ramo de engenharia, arquitetura e/ou construção civil para execução de obras conforme as seguintes especificações/condições:</w:t>
      </w:r>
    </w:p>
    <w:p>
      <w:pPr>
        <w:pStyle w:val="Ttulo2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Sustentabilidade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Além dos critérios de sustentabilidade eventualmente inseridos na descrição do objeto, devem ser atendidos os requisitos previstos no Projeto Básico.</w:t>
      </w:r>
    </w:p>
    <w:p>
      <w:pPr>
        <w:pStyle w:val="Ttulo2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Indicação de marcas ou modelos (Inciso I do art. 41 da lei nº 14.133, de 2021)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Na presente contratação será admitida a indicação de marca(s), característica(s) ou modelo(s), de acordo com as justificativas contidas no Projeto Básico.</w:t>
      </w:r>
    </w:p>
    <w:p>
      <w:pPr>
        <w:pStyle w:val="Ttulo2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Subcontratação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É admitida a subcontratação parcial do objeto, nas seguintes condições: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É vedada a subcontratação completa ou da parcela principal do objeto da contratação.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subcontratação fica limitada a 40%.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O contrato oferece maior detalhamento das regras que serão aplicadas em relação à subcontratação, caso admitida.</w:t>
      </w:r>
    </w:p>
    <w:p>
      <w:pPr>
        <w:pStyle w:val="Ttulo2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Garantia da contratação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Será exigida a garantia da contratação de que tratam os arts. 96 e seguintes da Lei nº 14.133, de 2021, no percentual e condições descritas nas cláusulas do contrato.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Em caso opção pelo seguro-garantia, a parte adjudicatária deverá apresentá-la, no máximo, até a data de assinatura do contrato.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garantia, nas modalidades caução e fiança bancária, deverá ser prestada em até 10 dias úteis após a assinatura do contrato.</w:t>
      </w:r>
    </w:p>
    <w:p>
      <w:pPr>
        <w:pStyle w:val="ListParagraph"/>
        <w:numPr>
          <w:ilvl w:val="2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O contrato oferece maior detalhamento das regras que serão aplicadas em relação à garantia da contratação.</w:t>
      </w:r>
    </w:p>
    <w:p>
      <w:pPr>
        <w:pStyle w:val="Ttulo2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Vistoria</w:t>
      </w:r>
    </w:p>
    <w:p>
      <w:pPr>
        <w:pStyle w:val="ListParagraph"/>
        <w:numPr>
          <w:ilvl w:val="2"/>
          <w:numId w:val="3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avaliação prévia do local de execução dos serviços é imprescindível para o conhecimento pleno das condições e peculiaridades do objeto a ser contratado, sendo assegurado ao interessado o direito de realização de vistoria prévia, acompanhado por servidor designado para esse fim, de segunda à sexta-feira, das 08 horas às 12 horas.</w:t>
      </w:r>
    </w:p>
    <w:p>
      <w:pPr>
        <w:pStyle w:val="ListParagraph"/>
        <w:numPr>
          <w:ilvl w:val="2"/>
          <w:numId w:val="3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Serão disponibilizados data e horário diferentes aos interessados em realizar a vistoria prévia.</w:t>
      </w:r>
    </w:p>
    <w:p>
      <w:pPr>
        <w:pStyle w:val="ListParagraph"/>
        <w:numPr>
          <w:ilvl w:val="2"/>
          <w:numId w:val="3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Para a vistoria, o representante legal da empresa ou responsável técnico deverá estar devidamente identificado, apresentando documento de identidade civil e documento expedido pela empresa comprovando sua habilitação para a realização da vistoria.</w:t>
      </w:r>
    </w:p>
    <w:p>
      <w:pPr>
        <w:pStyle w:val="ListParagraph"/>
        <w:numPr>
          <w:ilvl w:val="2"/>
          <w:numId w:val="3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Caso o licitante opte por não realizar a vistoria, deverá prestar declaração formal assinada pelo responsável técnico do licitante acerca do conhecimento pleno das condições e peculiaridades da contratação.</w:t>
      </w:r>
    </w:p>
    <w:p>
      <w:pPr>
        <w:pStyle w:val="ListParagraph"/>
        <w:numPr>
          <w:ilvl w:val="2"/>
          <w:numId w:val="3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não realização da vistoria não poderá embasar posteriores alegações de desconhecimento das instalações, dúvidas ou esquecimentos de quaisquer detalhes dos locais da prestação dos serviços, devendo o contratado assumir os ônus dos serviços decorrentes.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JUSTIFICATIVA PARA O PARCELAMENTO OU NÃO DA CONTRATAÇÃO</w:t>
      </w:r>
    </w:p>
    <w:p>
      <w:pPr>
        <w:pStyle w:val="Ttulo1"/>
        <w:numPr>
          <w:ilvl w:val="0"/>
          <w:numId w:val="0"/>
        </w:numPr>
        <w:spacing w:lineRule="auto" w:line="276"/>
        <w:ind w:left="3926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Nos termos do art. 47, inciso II, da Lei Federal nº 14.133/2021, as licitações atenderão ao princípio do parcelamento, quando tecnicamente viável e economicamente vantajoso. Na aplicação deste princípio, o § 1º do mesmo art. 47 estabelece que deverão ser considerados a responsabilidade técnica, o custo para a Administração de vários contratos frente às vantagens da redução de custos, com divisão do objeto em itens, e o dever de buscar a ampliação da competição e de evitar a concentração de mercado.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Em vista disto, o princípio do parcelamento não deverá ser aplicado à presente contratação, tendo em vista que eventual divisão do objeto geraria perda de economia de escala e causaria inviabilidade técnica, pois geraria maior trabalho de fiscalização contratual frente à falta de padronização e uniformização.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RESULTADOS PRETENDIDOS</w:t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Pretende-se, com o presente processo licitatório, assegurar a seleção da proposta apta a gerar a contratação mais vantajosa para o Município.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Almeja-se, igualmente, assegurar tratamento isonômico entre os licitantes, bem como a justa competição, bem como evitar contratação com sobrepreço ou com preço manifestamente inexequível e superfaturamento na execução do contrato.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contratação decorrente do presente processo licitatório exigirá da contratada o cumprimento das boas práticas de sustentabilidade, contribuindo para a racionalização e otimização do uso dos recursos, bem como para a redução dos impactos ambientais.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PROVIDÊNCIAS PRÉVIAS AO CONTRATO</w:t>
      </w:r>
    </w:p>
    <w:p>
      <w:pPr>
        <w:pStyle w:val="Ttulo1"/>
        <w:numPr>
          <w:ilvl w:val="0"/>
          <w:numId w:val="0"/>
        </w:numPr>
        <w:spacing w:lineRule="auto" w:line="276"/>
        <w:ind w:left="3926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Para a contratação pretendida não haverá necessidade de providências prévias no âmbito da Administração.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Secretaria de Esportes e Juventude indicará servidores para atuarem como gestor e fiscal do contrato, sendo estes:</w:t>
      </w:r>
    </w:p>
    <w:p>
      <w:pPr>
        <w:pStyle w:val="ListParagraph"/>
        <w:numPr>
          <w:ilvl w:val="0"/>
          <w:numId w:val="2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 xml:space="preserve"> </w:t>
      </w:r>
      <w:r>
        <w:rPr>
          <w:rFonts w:ascii="Arial" w:hAnsi="Arial"/>
          <w:color w:val="auto"/>
          <w:sz w:val="24"/>
          <w:szCs w:val="24"/>
        </w:rPr>
        <w:t>José Miguel Pereira  – Gestor de Contratos</w:t>
      </w:r>
    </w:p>
    <w:p>
      <w:pPr>
        <w:pStyle w:val="ListParagraph"/>
        <w:numPr>
          <w:ilvl w:val="0"/>
          <w:numId w:val="2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ser indicado pelo Gestor do Contrato – Fiscal do Contrato</w:t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Ademais, para que a pretendida contratação tenha sucesso, é preciso que outras etapas sejam concluídas, quais sejam: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Termo de Referência ou Projeto Básico;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realização de certificação de disponibilidade orçamentária;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autorização para fase interna do certame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designação em Portaria de pregoeiro, equipe de apoio, agente de contratação (conforme o caso);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elaboração de minuta do edital;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elaboração de minuta do contrato;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encaminhamento do processo para análise jurídica;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análise da manifestação jurídica e atendimento aos apontamentos constantes no parecer, mediante Nota Técnica com os ajustes indicados;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encaminhamento do processo para análise da controladoria interna;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publicação e divulgação do edital e anexos;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resposta a eventuais pedidos de esclarecimentos e/ou impugnação, caso aplicável;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realização do certame, com suas respectivas etapas;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assinatura e publicação do contrato; e</w:t>
      </w:r>
    </w:p>
    <w:p>
      <w:pPr>
        <w:pStyle w:val="ListParagraph"/>
        <w:numPr>
          <w:ilvl w:val="0"/>
          <w:numId w:val="1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realização de empenho.</w:t>
      </w:r>
    </w:p>
    <w:p>
      <w:pPr>
        <w:pStyle w:val="Normal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CONTRATAÇÕES CORRELATAS E/OU INTERDEPENDENTES</w:t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Corpodotexto"/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Este estudo não identificou a necessidade de realizar contratações intertependentes para a perfeita execução do objeto, uma vez que todos os meios necessários para a execução dos serviços podem ser supridos apenas com a contratação ora proposta.</w:t>
      </w:r>
    </w:p>
    <w:p>
      <w:pPr>
        <w:pStyle w:val="ListParagraph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Os bens/serviços que se pretende, portanto, são autônomos e prescindem de contratações correlatas ou interdependentes.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POSSÍVEIS IMPACTOS AMBIENTAIS</w:t>
      </w:r>
    </w:p>
    <w:p>
      <w:pPr>
        <w:pStyle w:val="Ttulo1"/>
        <w:numPr>
          <w:ilvl w:val="0"/>
          <w:numId w:val="0"/>
        </w:numPr>
        <w:spacing w:lineRule="auto" w:line="276"/>
        <w:ind w:left="3926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Vislumbram-se impactos ambientais provenientes desta contratação, mencionados na tabela abaixo, juntamente com as medidas de tratamento a serem adotadas pela contratada:</w:t>
      </w:r>
    </w:p>
    <w:tbl>
      <w:tblPr>
        <w:tblStyle w:val="TableNormal"/>
        <w:tblW w:w="8495" w:type="dxa"/>
        <w:jc w:val="left"/>
        <w:tblInd w:w="12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233"/>
        <w:gridCol w:w="4261"/>
      </w:tblGrid>
      <w:tr>
        <w:trPr>
          <w:trHeight w:val="412" w:hRule="atLeast"/>
        </w:trPr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bidi w:val="0"/>
              <w:spacing w:lineRule="auto" w:line="276"/>
              <w:ind w:left="0" w:right="0" w:hanging="0"/>
              <w:jc w:val="center"/>
              <w:rPr/>
            </w:pPr>
            <w:r>
              <w:rPr>
                <w:rFonts w:ascii="Arial" w:hAnsi="Arial"/>
                <w:b/>
                <w:bCs/>
                <w:color w:val="auto"/>
                <w:sz w:val="24"/>
                <w:szCs w:val="24"/>
              </w:rPr>
              <w:t>IMPACTO AMBIENTAL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bidi w:val="0"/>
              <w:spacing w:lineRule="auto" w:line="276"/>
              <w:ind w:left="0" w:right="0" w:hanging="0"/>
              <w:jc w:val="center"/>
              <w:rPr/>
            </w:pPr>
            <w:r>
              <w:rPr>
                <w:rFonts w:ascii="Arial" w:hAnsi="Arial"/>
                <w:b/>
                <w:bCs/>
                <w:color w:val="auto"/>
                <w:sz w:val="24"/>
                <w:szCs w:val="24"/>
              </w:rPr>
              <w:t>MEDIDA DE TRATAMENTO</w:t>
            </w:r>
          </w:p>
        </w:tc>
      </w:tr>
      <w:tr>
        <w:trPr>
          <w:trHeight w:val="2070" w:hRule="atLeast"/>
        </w:trPr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76"/>
              <w:ind w:left="0" w:right="0" w:hanging="0"/>
              <w:jc w:val="both"/>
              <w:rPr/>
            </w:pPr>
            <w:r>
              <w:rPr>
                <w:rFonts w:ascii="Arial" w:hAnsi="Arial"/>
                <w:color w:val="auto"/>
                <w:sz w:val="24"/>
                <w:szCs w:val="24"/>
              </w:rPr>
              <w:t>Geração de resíduos sólidos de blocos cerâmicos, concreto em geral, solos, rochas, metais, resinas, colas, tintas, madeiras  e  compensados,  argamassa,</w:t>
            </w:r>
          </w:p>
          <w:p>
            <w:pPr>
              <w:pStyle w:val="TableParagraph"/>
              <w:spacing w:lineRule="auto" w:line="276"/>
              <w:ind w:left="0" w:right="0" w:hanging="0"/>
              <w:jc w:val="both"/>
              <w:rPr/>
            </w:pPr>
            <w:r>
              <w:rPr>
                <w:rFonts w:ascii="Arial" w:hAnsi="Arial"/>
                <w:color w:val="auto"/>
                <w:sz w:val="24"/>
                <w:szCs w:val="24"/>
              </w:rPr>
              <w:t>plásticos, fiação elétrica, entre outros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276"/>
              <w:ind w:left="0" w:right="0" w:hanging="0"/>
              <w:jc w:val="both"/>
              <w:rPr/>
            </w:pPr>
            <w:r>
              <w:rPr>
                <w:rFonts w:ascii="Arial" w:hAnsi="Arial"/>
                <w:color w:val="auto"/>
                <w:sz w:val="24"/>
                <w:szCs w:val="24"/>
              </w:rPr>
              <w:t>A contratada deverá fazer a adequada destinação final dos resíduos decorrentes da construção.</w:t>
            </w:r>
          </w:p>
        </w:tc>
      </w:tr>
    </w:tbl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Orientações complementares acerca da sustentabilidade da prestação almejada poderão ser repassadas pela fiscalização competente.</w:t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A empresa deverá se responsabilizar pelo atendimento a todas as normas de segurança do trabalho e encargos sociais a cerca dos possíveis riscos de obra de construção.</w:t>
      </w:r>
    </w:p>
    <w:p>
      <w:pPr>
        <w:pStyle w:val="ListParagraph"/>
        <w:numPr>
          <w:ilvl w:val="0"/>
          <w:numId w:val="0"/>
        </w:numPr>
        <w:spacing w:lineRule="auto" w:line="276"/>
        <w:ind w:left="2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Ttulo1"/>
        <w:numPr>
          <w:ilvl w:val="0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DECLARAÇÃO DE VIABILIDADE</w:t>
      </w:r>
    </w:p>
    <w:p>
      <w:pPr>
        <w:pStyle w:val="Ttulo1"/>
        <w:numPr>
          <w:ilvl w:val="0"/>
          <w:numId w:val="0"/>
        </w:numPr>
        <w:spacing w:lineRule="auto" w:line="276"/>
        <w:ind w:left="3926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ListParagraph"/>
        <w:numPr>
          <w:ilvl w:val="1"/>
          <w:numId w:val="7"/>
        </w:numPr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>Com base na justificativa e nas especificações técnicas constantes neste Estudo Técnico Preliminar e seus anexos, e na existência de planejamento orçamentário e recursos federais para subsidiar esta contratação, declaramos que a contratação é viável, atendendo aos padrões e preços de mercado.</w:t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Corpodotexto"/>
        <w:spacing w:lineRule="auto" w:line="276"/>
        <w:ind w:left="0" w:right="0" w:hanging="0"/>
        <w:jc w:val="both"/>
        <w:rPr/>
      </w:pPr>
      <w:r>
        <w:rPr>
          <w:rFonts w:ascii="Arial" w:hAnsi="Arial"/>
          <w:color w:val="auto"/>
          <w:sz w:val="24"/>
          <w:szCs w:val="24"/>
        </w:rPr>
        <w:t xml:space="preserve">Paranaguá , </w:t>
      </w:r>
      <w:r>
        <w:rPr>
          <w:rFonts w:ascii="Arial" w:hAnsi="Arial"/>
          <w:color w:val="auto"/>
          <w:sz w:val="24"/>
          <w:szCs w:val="24"/>
          <w:lang w:val="pt-PT"/>
        </w:rPr>
        <w:t>05</w:t>
      </w:r>
      <w:r>
        <w:rPr>
          <w:rFonts w:ascii="Arial" w:hAnsi="Arial"/>
          <w:color w:val="auto"/>
          <w:sz w:val="24"/>
          <w:szCs w:val="24"/>
        </w:rPr>
        <w:t xml:space="preserve"> de </w:t>
      </w:r>
      <w:r>
        <w:rPr>
          <w:rFonts w:ascii="Arial" w:hAnsi="Arial"/>
          <w:color w:val="auto"/>
          <w:sz w:val="24"/>
          <w:szCs w:val="24"/>
          <w:lang w:val="pt-PT"/>
        </w:rPr>
        <w:t>Fevereiro</w:t>
      </w:r>
      <w:r>
        <w:rPr>
          <w:rFonts w:ascii="Arial" w:hAnsi="Arial"/>
          <w:color w:val="auto"/>
          <w:sz w:val="24"/>
          <w:szCs w:val="24"/>
        </w:rPr>
        <w:t xml:space="preserve"> de 2026.</w:t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mc:AlternateContent>
          <mc:Choice Requires="wps">
            <w:drawing>
              <wp:anchor behindDoc="1" distT="0" distB="0" distL="0" distR="0" simplePos="0" locked="0" layoutInCell="1" allowOverlap="1" relativeHeight="2" wp14:anchorId="286D6894">
                <wp:simplePos x="0" y="0"/>
                <wp:positionH relativeFrom="page">
                  <wp:posOffset>2370455</wp:posOffset>
                </wp:positionH>
                <wp:positionV relativeFrom="paragraph">
                  <wp:posOffset>207645</wp:posOffset>
                </wp:positionV>
                <wp:extent cx="2821305" cy="3175"/>
                <wp:effectExtent l="0" t="0" r="0" b="0"/>
                <wp:wrapTopAndBottom/>
                <wp:docPr id="1" name="Graphic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060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819400" h="0">
                              <a:moveTo>
                                <a:pt x="0" y="0"/>
                              </a:moveTo>
                              <a:lnTo>
                                <a:pt x="2819400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lineRule="auto" w:line="276"/>
        <w:ind w:left="0" w:right="0" w:hanging="0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Corpodotexto"/>
        <w:spacing w:lineRule="auto" w:line="276"/>
        <w:ind w:left="0" w:right="0" w:hanging="0"/>
        <w:jc w:val="center"/>
        <w:rPr/>
      </w:pPr>
      <w:r>
        <w:rPr>
          <w:rFonts w:ascii="Arial" w:hAnsi="Arial"/>
          <w:b/>
          <w:bCs/>
          <w:color w:val="auto"/>
          <w:sz w:val="24"/>
          <w:szCs w:val="24"/>
        </w:rPr>
        <w:t>JOSÉ MIGUEL PEREIRA</w:t>
      </w:r>
    </w:p>
    <w:p>
      <w:pPr>
        <w:pStyle w:val="Corpodotexto"/>
        <w:spacing w:lineRule="auto" w:line="276"/>
        <w:ind w:left="0" w:right="0" w:hanging="0"/>
        <w:jc w:val="center"/>
        <w:rPr/>
      </w:pPr>
      <w:r>
        <w:rPr>
          <w:rFonts w:ascii="Arial" w:hAnsi="Arial"/>
          <w:color w:val="auto"/>
          <w:sz w:val="24"/>
          <w:szCs w:val="24"/>
        </w:rPr>
        <w:t>Secretário Municipal de Esportes e Juventude</w:t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80" w:right="1076" w:header="155" w:top="1780" w:footer="883" w:bottom="108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Google Sans Text">
    <w:altName w:val="sans-serif"/>
    <w:charset w:val="00"/>
    <w:family w:val="auto"/>
    <w:pitch w:val="default"/>
  </w:font>
  <w:font w:name="Arial MT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7"/>
      <w:ind w:left="0" w:hanging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6" wp14:anchorId="16AA38CD">
              <wp:simplePos x="0" y="0"/>
              <wp:positionH relativeFrom="page">
                <wp:posOffset>1112520</wp:posOffset>
              </wp:positionH>
              <wp:positionV relativeFrom="page">
                <wp:posOffset>10175240</wp:posOffset>
              </wp:positionV>
              <wp:extent cx="5339715" cy="461645"/>
              <wp:effectExtent l="0" t="0" r="0" b="0"/>
              <wp:wrapNone/>
              <wp:docPr id="3" name="Textbox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39160" cy="46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ind w:left="2" w:right="2" w:firstLine="851"/>
                            <w:jc w:val="center"/>
                            <w:rPr/>
                          </w:pPr>
                          <w:r>
                            <w:rPr>
                              <w:rFonts w:ascii="Arial MT" w:hAnsi="Arial MT"/>
                              <w:color w:val="000000"/>
                              <w:sz w:val="20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color w:val="000000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b/>
                              <w:rFonts w:ascii="Arial" w:hAnsi="Arial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  <w:b/>
                              <w:rFonts w:ascii="Arial" w:hAnsi="Arial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b/>
                              <w:rFonts w:ascii="Arial" w:hAnsi="Arial"/>
                            </w:rPr>
                            <w:t>7</w:t>
                          </w:r>
                          <w:r>
                            <w:rPr>
                              <w:sz w:val="20"/>
                              <w:b/>
                              <w:rFonts w:ascii="Arial" w:hAnsi="Arial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000000"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color w:val="000000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0"/>
                              <w:sz w:val="20"/>
                            </w:rPr>
                            <w:t>8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8" stroked="f" style="position:absolute;margin-left:87.6pt;margin-top:801.2pt;width:420.35pt;height:36.25pt;mso-position-horizontal-relative:page;mso-position-vertical-relative:page" wp14:anchorId="16AA38CD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ind w:left="2" w:right="2" w:firstLine="851"/>
                      <w:jc w:val="center"/>
                      <w:rPr/>
                    </w:pPr>
                    <w:r>
                      <w:rPr>
                        <w:rFonts w:ascii="Arial MT" w:hAnsi="Arial MT"/>
                        <w:color w:val="000000"/>
                        <w:sz w:val="20"/>
                      </w:rPr>
                      <w:t>Página</w:t>
                    </w:r>
                    <w:r>
                      <w:rPr>
                        <w:rFonts w:ascii="Arial MT" w:hAnsi="Arial MT"/>
                        <w:color w:val="000000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  <w:b/>
                        <w:rFonts w:ascii="Arial" w:hAnsi="Arial"/>
                      </w:rPr>
                      <w:instrText> PAGE </w:instrText>
                    </w:r>
                    <w:r>
                      <w:rPr>
                        <w:sz w:val="20"/>
                        <w:b/>
                        <w:rFonts w:ascii="Arial" w:hAnsi="Arial"/>
                      </w:rPr>
                      <w:fldChar w:fldCharType="separate"/>
                    </w:r>
                    <w:r>
                      <w:rPr>
                        <w:sz w:val="20"/>
                        <w:b/>
                        <w:rFonts w:ascii="Arial" w:hAnsi="Arial"/>
                      </w:rPr>
                      <w:t>7</w:t>
                    </w:r>
                    <w:r>
                      <w:rPr>
                        <w:sz w:val="20"/>
                        <w:b/>
                        <w:rFonts w:ascii="Arial" w:hAnsi="Arial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000000"/>
                        <w:sz w:val="20"/>
                      </w:rPr>
                      <w:t>de</w:t>
                    </w:r>
                    <w:r>
                      <w:rPr>
                        <w:rFonts w:ascii="Arial MT" w:hAnsi="Arial MT"/>
                        <w:color w:val="00000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0"/>
                        <w:sz w:val="20"/>
                      </w:rPr>
                      <w:t>8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tabs>
        <w:tab w:val="center" w:pos="4252" w:leader="none"/>
        <w:tab w:val="center" w:pos="4844" w:leader="none"/>
        <w:tab w:val="right" w:pos="8504" w:leader="none"/>
      </w:tabs>
      <w:spacing w:lineRule="auto" w:line="276"/>
      <w:ind w:left="-437" w:hanging="0"/>
      <w:jc w:val="center"/>
      <w:rPr>
        <w:rFonts w:ascii="Arial" w:hAnsi="Arial" w:cs="Arial"/>
        <w:b/>
        <w:b/>
        <w:bCs/>
        <w:color w:val="808080"/>
        <w:sz w:val="28"/>
        <w:szCs w:val="28"/>
        <w:u w:val="thick"/>
      </w:rPr>
    </w:pPr>
    <w:r>
      <w:rPr>
        <w:rFonts w:cs="Arial" w:ascii="Arial" w:hAnsi="Arial"/>
        <w:b/>
        <w:bCs/>
        <w:color w:val="808080"/>
        <w:sz w:val="28"/>
        <w:szCs w:val="28"/>
        <w:u w:val="thick"/>
      </w:rPr>
      <w:drawing>
        <wp:anchor behindDoc="1" distT="0" distB="0" distL="114300" distR="114300" simplePos="0" locked="0" layoutInCell="1" allowOverlap="1" relativeHeight="9">
          <wp:simplePos x="0" y="0"/>
          <wp:positionH relativeFrom="column">
            <wp:posOffset>336550</wp:posOffset>
          </wp:positionH>
          <wp:positionV relativeFrom="paragraph">
            <wp:posOffset>114300</wp:posOffset>
          </wp:positionV>
          <wp:extent cx="574675" cy="701675"/>
          <wp:effectExtent l="0" t="0" r="0" b="0"/>
          <wp:wrapSquare wrapText="bothSides"/>
          <wp:docPr id="2" name="Imagem 132274044" descr="brasao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32274044" descr="brasaobmp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701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tabs>
        <w:tab w:val="center" w:pos="4252" w:leader="none"/>
        <w:tab w:val="center" w:pos="4844" w:leader="none"/>
        <w:tab w:val="right" w:pos="8504" w:leader="none"/>
      </w:tabs>
      <w:spacing w:lineRule="auto" w:line="276"/>
      <w:ind w:left="-437" w:hanging="0"/>
      <w:jc w:val="center"/>
      <w:rPr>
        <w:rFonts w:ascii="Arial" w:hAnsi="Arial" w:cs="Arial"/>
        <w:b/>
        <w:b/>
        <w:bCs/>
        <w:color w:val="808080"/>
        <w:sz w:val="28"/>
        <w:szCs w:val="28"/>
        <w:u w:val="thick"/>
      </w:rPr>
    </w:pPr>
    <w:r>
      <w:rPr>
        <w:rFonts w:cs="Arial" w:ascii="Arial" w:hAnsi="Arial"/>
        <w:b/>
        <w:bCs/>
        <w:color w:val="auto"/>
        <w:sz w:val="28"/>
        <w:szCs w:val="28"/>
        <w:u w:val="thick"/>
      </w:rPr>
      <w:t>PREFEITURA MUNICIPAL DE PARANAGUÁ</w:t>
    </w:r>
  </w:p>
  <w:p>
    <w:pPr>
      <w:pStyle w:val="Cabealho"/>
      <w:tabs>
        <w:tab w:val="center" w:pos="4252" w:leader="none"/>
        <w:tab w:val="center" w:pos="4844" w:leader="none"/>
        <w:tab w:val="right" w:pos="8504" w:leader="none"/>
      </w:tabs>
      <w:spacing w:lineRule="auto" w:line="276"/>
      <w:ind w:left="-437" w:hanging="0"/>
      <w:jc w:val="center"/>
      <w:rPr>
        <w:color w:val="auto"/>
      </w:rPr>
    </w:pPr>
    <w:r>
      <w:rPr>
        <w:rFonts w:cs="Arial" w:ascii="Arial" w:hAnsi="Arial"/>
        <w:color w:val="auto"/>
        <w:sz w:val="20"/>
        <w:szCs w:val="20"/>
      </w:rPr>
      <w:t>SECRETARIA MUNICIPAL DE  ESPORTES E JUVENTUDE</w:t>
    </w:r>
  </w:p>
  <w:p>
    <w:pPr>
      <w:pStyle w:val="Corpodotexto"/>
      <w:spacing w:lineRule="auto" w:line="7"/>
      <w:ind w:left="0" w:hanging="0"/>
      <w:rPr>
        <w:sz w:val="20"/>
      </w:rPr>
    </w:pPr>
    <w:r>
      <w:rPr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1113" w:hanging="26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Times New Roman" w:cs="Arial"/>
        <w:lang w:val="pt-PT" w:eastAsia="en-US" w:bidi="ar-SA"/>
      </w:rPr>
    </w:lvl>
    <w:lvl w:ilvl="1">
      <w:start w:val="1"/>
      <w:numFmt w:val="bullet"/>
      <w:lvlText w:val=""/>
      <w:lvlJc w:val="left"/>
      <w:pPr>
        <w:ind w:left="1872" w:hanging="260"/>
      </w:pPr>
      <w:rPr>
        <w:rFonts w:ascii="Symbol" w:hAnsi="Symbol" w:cs="Symbol" w:hint="default"/>
        <w:rFonts w:cs="Symbol"/>
        <w:lang w:val="pt-PT" w:eastAsia="en-US" w:bidi="ar-SA"/>
      </w:rPr>
    </w:lvl>
    <w:lvl w:ilvl="2">
      <w:start w:val="1"/>
      <w:numFmt w:val="bullet"/>
      <w:lvlText w:val=""/>
      <w:lvlJc w:val="left"/>
      <w:pPr>
        <w:ind w:left="2625" w:hanging="260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378" w:hanging="26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130" w:hanging="26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883" w:hanging="26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636" w:hanging="26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389" w:hanging="26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141" w:hanging="26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2">
    <w:lvl w:ilvl="0">
      <w:start w:val="1"/>
      <w:numFmt w:val="bullet"/>
      <w:lvlText w:val="-"/>
      <w:lvlJc w:val="left"/>
      <w:pPr>
        <w:ind w:left="993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rFonts w:cs="Times New Roman"/>
        <w:lang w:val="pt-PT" w:eastAsia="en-US" w:bidi="ar-SA"/>
      </w:rPr>
    </w:lvl>
    <w:lvl w:ilvl="1">
      <w:start w:val="1"/>
      <w:numFmt w:val="bullet"/>
      <w:lvlText w:val=""/>
      <w:lvlJc w:val="left"/>
      <w:pPr>
        <w:ind w:left="1764" w:hanging="140"/>
      </w:pPr>
      <w:rPr>
        <w:rFonts w:ascii="Symbol" w:hAnsi="Symbol" w:cs="Symbol" w:hint="default"/>
        <w:rFonts w:cs="Symbol"/>
        <w:lang w:val="pt-PT" w:eastAsia="en-US" w:bidi="ar-SA"/>
      </w:rPr>
    </w:lvl>
    <w:lvl w:ilvl="2">
      <w:start w:val="1"/>
      <w:numFmt w:val="bullet"/>
      <w:lvlText w:val=""/>
      <w:lvlJc w:val="left"/>
      <w:pPr>
        <w:ind w:left="2529" w:hanging="140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294" w:hanging="14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058" w:hanging="14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823" w:hanging="14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588" w:hanging="14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353" w:hanging="14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117" w:hanging="14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3">
    <w:lvl w:ilvl="0">
      <w:start w:val="7"/>
      <w:numFmt w:val="decimal"/>
      <w:lvlText w:val="%1"/>
      <w:lvlJc w:val="left"/>
      <w:pPr>
        <w:ind w:left="2" w:hanging="564"/>
      </w:pPr>
      <w:rPr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" w:hanging="564"/>
      </w:pPr>
      <w:rPr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" w:hanging="564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Arial" w:hAnsi="Arial" w:eastAsia="Times New Roman" w:cs="Aria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564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4">
    <w:lvl w:ilvl="0">
      <w:start w:val="3"/>
      <w:numFmt w:val="lowerLetter"/>
      <w:lvlText w:val="%1"/>
      <w:lvlJc w:val="left"/>
      <w:pPr>
        <w:ind w:left="2" w:hanging="427"/>
      </w:pPr>
      <w:rPr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2" w:hanging="427"/>
      </w:pPr>
      <w:rPr>
        <w:sz w:val="24"/>
        <w:spacing w:val="-1"/>
        <w:i w:val="false"/>
        <w:b w:val="false"/>
        <w:szCs w:val="24"/>
        <w:iCs w:val="false"/>
        <w:bCs w:val="false"/>
        <w:w w:val="100"/>
        <w:rFonts w:ascii="Arial" w:hAnsi="Arial" w:eastAsia="Times New Roman" w:cs="Arial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729" w:hanging="427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427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427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427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427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427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427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5">
    <w:lvl w:ilvl="0">
      <w:start w:val="1"/>
      <w:numFmt w:val="lowerLetter"/>
      <w:lvlText w:val="%1)"/>
      <w:lvlJc w:val="left"/>
      <w:pPr>
        <w:ind w:left="2" w:hanging="240"/>
      </w:pPr>
      <w:rPr>
        <w:sz w:val="24"/>
        <w:spacing w:val="-1"/>
        <w:i w:val="false"/>
        <w:b w:val="false"/>
        <w:szCs w:val="24"/>
        <w:iCs w:val="false"/>
        <w:bCs w:val="false"/>
        <w:w w:val="100"/>
        <w:rFonts w:ascii="Arial" w:hAnsi="Arial" w:eastAsia="Times New Roman" w:cs="Arial"/>
        <w:lang w:val="pt-PT" w:eastAsia="en-US" w:bidi="ar-SA"/>
      </w:rPr>
    </w:lvl>
    <w:lvl w:ilvl="1">
      <w:start w:val="1"/>
      <w:numFmt w:val="upperRoman"/>
      <w:lvlText w:val="%2."/>
      <w:lvlJc w:val="left"/>
      <w:pPr>
        <w:ind w:left="1134" w:hanging="202"/>
      </w:pPr>
      <w:rPr>
        <w:sz w:val="24"/>
        <w:spacing w:val="-4"/>
        <w:i w:val="false"/>
        <w:b w:val="false"/>
        <w:szCs w:val="24"/>
        <w:iCs w:val="false"/>
        <w:bCs w:val="false"/>
        <w:w w:val="100"/>
        <w:rFonts w:ascii="Arial" w:hAnsi="Arial" w:eastAsia="Times New Roman" w:cs="Arial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974" w:hanging="202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808" w:hanging="202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642" w:hanging="202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476" w:hanging="202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310" w:hanging="202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144" w:hanging="202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79" w:hanging="202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6">
    <w:lvl w:ilvl="0">
      <w:start w:val="1"/>
      <w:numFmt w:val="lowerLetter"/>
      <w:lvlText w:val="%1)"/>
      <w:lvlJc w:val="left"/>
      <w:pPr>
        <w:ind w:left="2" w:hanging="341"/>
      </w:pPr>
      <w:rPr>
        <w:sz w:val="24"/>
        <w:spacing w:val="-1"/>
        <w:i w:val="false"/>
        <w:b w:val="false"/>
        <w:szCs w:val="24"/>
        <w:iCs w:val="false"/>
        <w:bCs w:val="false"/>
        <w:w w:val="100"/>
        <w:rFonts w:ascii="Arial" w:hAnsi="Arial" w:eastAsia="Times New Roman" w:cs="Times New Roman"/>
        <w:lang w:val="pt-PT" w:eastAsia="en-US" w:bidi="ar-SA"/>
      </w:rPr>
    </w:lvl>
    <w:lvl w:ilvl="1">
      <w:start w:val="1"/>
      <w:numFmt w:val="bullet"/>
      <w:lvlText w:val=""/>
      <w:lvlJc w:val="left"/>
      <w:pPr>
        <w:ind w:left="864" w:hanging="341"/>
      </w:pPr>
      <w:rPr>
        <w:rFonts w:ascii="Symbol" w:hAnsi="Symbol" w:cs="Symbol" w:hint="default"/>
        <w:rFonts w:cs="Symbol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729" w:hanging="341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341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341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341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341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341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341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7">
    <w:lvl w:ilvl="0">
      <w:start w:val="1"/>
      <w:numFmt w:val="decimal"/>
      <w:lvlText w:val="%1."/>
      <w:lvlJc w:val="left"/>
      <w:pPr>
        <w:ind w:left="3926" w:hanging="240"/>
      </w:pPr>
      <w:rPr>
        <w:sz w:val="24"/>
        <w:spacing w:val="0"/>
        <w:i w:val="false"/>
        <w:b/>
        <w:szCs w:val="24"/>
        <w:iCs w:val="false"/>
        <w:bCs/>
        <w:w w:val="100"/>
        <w:rFonts w:ascii="Arial" w:hAnsi="Arial" w:eastAsia="Times New Roman" w:cs="Arial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" w:hanging="564"/>
      </w:pPr>
      <w:rPr>
        <w:sz w:val="24"/>
        <w:spacing w:val="0"/>
        <w:w w:val="100"/>
        <w:rFonts w:ascii="Arial" w:hAnsi="Arial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" w:hanging="564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ascii="Arial" w:hAnsi="Arial" w:eastAsia="Times New Roman" w:cs="Arial"/>
        <w:lang w:val="pt-PT" w:eastAsia="en-US" w:bidi="ar-SA"/>
      </w:rPr>
    </w:lvl>
    <w:lvl w:ilvl="3">
      <w:start w:val="1"/>
      <w:numFmt w:val="bullet"/>
      <w:lvlText w:val=""/>
      <w:lvlJc w:val="left"/>
      <w:pPr>
        <w:ind w:left="1420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1"/>
      <w:numFmt w:val="bullet"/>
      <w:lvlText w:val=""/>
      <w:lvlJc w:val="left"/>
      <w:pPr>
        <w:ind w:left="2452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1"/>
      <w:numFmt w:val="bullet"/>
      <w:lvlText w:val=""/>
      <w:lvlJc w:val="left"/>
      <w:pPr>
        <w:ind w:left="3484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1"/>
      <w:numFmt w:val="bullet"/>
      <w:lvlText w:val=""/>
      <w:lvlJc w:val="left"/>
      <w:pPr>
        <w:ind w:left="4517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1"/>
      <w:numFmt w:val="bullet"/>
      <w:lvlText w:val=""/>
      <w:lvlJc w:val="left"/>
      <w:pPr>
        <w:ind w:left="5549" w:hanging="564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582" w:hanging="564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9"/>
    <w:qFormat/>
    <w:pPr>
      <w:ind w:left="1094" w:hanging="24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241" w:after="0"/>
      <w:ind w:left="854" w:hanging="0"/>
      <w:outlineLvl w:val="1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693197"/>
    <w:rPr>
      <w:rFonts w:ascii="Times New Roman" w:hAnsi="Times New Roman" w:eastAsia="Times New Roman" w:cs="Times New Roman"/>
      <w:lang w:val="pt-PT"/>
    </w:rPr>
  </w:style>
  <w:style w:type="character" w:styleId="RodapChar" w:customStyle="1">
    <w:name w:val="Rodapé Char"/>
    <w:basedOn w:val="DefaultParagraphFont"/>
    <w:link w:val="Rodap"/>
    <w:uiPriority w:val="99"/>
    <w:qFormat/>
    <w:rsid w:val="00693197"/>
    <w:rPr>
      <w:rFonts w:ascii="Times New Roman" w:hAnsi="Times New Roman" w:eastAsia="Times New Roman" w:cs="Times New Roman"/>
      <w:lang w:val="pt-PT"/>
    </w:rPr>
  </w:style>
  <w:style w:type="character" w:styleId="Nfaseforte">
    <w:name w:val="Ênfase forte"/>
    <w:qFormat/>
    <w:rPr>
      <w:b/>
      <w:bCs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uiPriority w:val="1"/>
    <w:qFormat/>
    <w:pPr>
      <w:ind w:left="2" w:firstLine="851"/>
    </w:pPr>
    <w:rPr>
      <w:sz w:val="24"/>
      <w:szCs w:val="24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1"/>
    <w:qFormat/>
    <w:pPr>
      <w:ind w:left="2" w:firstLine="851"/>
    </w:pPr>
    <w:rPr/>
  </w:style>
  <w:style w:type="paragraph" w:styleId="TableParagraph" w:customStyle="1">
    <w:name w:val="Table Paragraph"/>
    <w:basedOn w:val="Normal"/>
    <w:uiPriority w:val="1"/>
    <w:qFormat/>
    <w:pPr>
      <w:ind w:left="107" w:hanging="0"/>
      <w:jc w:val="both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693197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693197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LONormal" w:customStyle="1">
    <w:name w:val="LO-Normal"/>
    <w:qFormat/>
    <w:rsid w:val="00ff0564"/>
    <w:pPr>
      <w:widowControl/>
      <w:suppressAutoHyphens w:val="tru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LibreOffice/6.3.2.2$Windows_X86_64 LibreOffice_project/98b30e735bda24bc04ab42594c85f7fd8be07b9c</Application>
  <Pages>7</Pages>
  <Words>2297</Words>
  <Characters>13418</Characters>
  <CharactersWithSpaces>15520</CharactersWithSpaces>
  <Paragraphs>132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2026-01-27T11:44:00Z</dcterms:created>
  <dc:creator>Licitações</dc:creator>
  <dc:description/>
  <dc:language>pt-BR</dc:language>
  <cp:lastModifiedBy/>
  <dcterms:modified xsi:type="dcterms:W3CDTF">2026-05-07T13:53:23Z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2024-06-17T00:00:00Z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2025-11-11T00:00:00Z</vt:filetime>
  </property>
  <property fmtid="{D5CDD505-2E9C-101B-9397-08002B2CF9AE}" pid="8" name="LinksUpToDate">
    <vt:bool>0</vt:bool>
  </property>
  <property fmtid="{D5CDD505-2E9C-101B-9397-08002B2CF9AE}" pid="9" name="Producer">
    <vt:lpwstr>Microsoft® Word 2019</vt:lpwstr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